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75B62" w14:textId="1F7249B4" w:rsidR="000F6221" w:rsidRDefault="00DF1206">
      <w:r>
        <w:rPr>
          <w:noProof/>
        </w:rPr>
        <w:drawing>
          <wp:anchor distT="0" distB="0" distL="114300" distR="114300" simplePos="0" relativeHeight="251659264" behindDoc="1" locked="0" layoutInCell="1" allowOverlap="1" wp14:anchorId="465D819E" wp14:editId="751E90B3">
            <wp:simplePos x="0" y="0"/>
            <wp:positionH relativeFrom="page">
              <wp:align>left</wp:align>
            </wp:positionH>
            <wp:positionV relativeFrom="paragraph">
              <wp:posOffset>-762000</wp:posOffset>
            </wp:positionV>
            <wp:extent cx="7653740" cy="1179576"/>
            <wp:effectExtent l="0" t="0" r="0" b="19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 Fact Sheet Header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3740" cy="1179576"/>
                    </a:xfrm>
                    <a:prstGeom prst="rect">
                      <a:avLst/>
                    </a:prstGeom>
                  </pic:spPr>
                </pic:pic>
              </a:graphicData>
            </a:graphic>
            <wp14:sizeRelH relativeFrom="page">
              <wp14:pctWidth>0</wp14:pctWidth>
            </wp14:sizeRelH>
            <wp14:sizeRelV relativeFrom="page">
              <wp14:pctHeight>0</wp14:pctHeight>
            </wp14:sizeRelV>
          </wp:anchor>
        </w:drawing>
      </w:r>
    </w:p>
    <w:p w14:paraId="7E8242A6" w14:textId="6643C659" w:rsidR="007646AC" w:rsidRPr="007646AC" w:rsidRDefault="007646AC" w:rsidP="007646AC"/>
    <w:p w14:paraId="511D41D6" w14:textId="6A739218" w:rsidR="007646AC" w:rsidRPr="007646AC" w:rsidRDefault="007646AC" w:rsidP="007646AC"/>
    <w:p w14:paraId="5EB013D9" w14:textId="5F0DB978" w:rsidR="007646AC" w:rsidRPr="007646AC" w:rsidRDefault="007646AC" w:rsidP="007646AC">
      <w:pPr>
        <w:tabs>
          <w:tab w:val="left" w:pos="1875"/>
        </w:tabs>
        <w:spacing w:after="0"/>
        <w:jc w:val="center"/>
        <w:rPr>
          <w:b/>
          <w:bCs/>
          <w:sz w:val="28"/>
          <w:szCs w:val="28"/>
        </w:rPr>
      </w:pPr>
      <w:r w:rsidRPr="007646AC">
        <w:rPr>
          <w:b/>
          <w:bCs/>
          <w:sz w:val="28"/>
          <w:szCs w:val="28"/>
        </w:rPr>
        <w:t>SB1401 (Lightford)</w:t>
      </w:r>
    </w:p>
    <w:p w14:paraId="5ECE1843" w14:textId="1DD9C5E2" w:rsidR="007646AC" w:rsidRPr="007646AC" w:rsidRDefault="007646AC" w:rsidP="007646AC">
      <w:pPr>
        <w:tabs>
          <w:tab w:val="left" w:pos="1875"/>
        </w:tabs>
        <w:spacing w:after="0"/>
        <w:jc w:val="center"/>
        <w:rPr>
          <w:b/>
          <w:bCs/>
          <w:sz w:val="28"/>
          <w:szCs w:val="28"/>
        </w:rPr>
      </w:pPr>
      <w:r w:rsidRPr="007646AC">
        <w:rPr>
          <w:b/>
          <w:bCs/>
          <w:sz w:val="28"/>
          <w:szCs w:val="28"/>
        </w:rPr>
        <w:t>Caseload of Social Workers, School Counselors, Nurses</w:t>
      </w:r>
      <w:r w:rsidR="007C7E8B">
        <w:rPr>
          <w:b/>
          <w:bCs/>
          <w:sz w:val="28"/>
          <w:szCs w:val="28"/>
        </w:rPr>
        <w:t xml:space="preserve">, </w:t>
      </w:r>
      <w:r w:rsidRPr="007646AC">
        <w:rPr>
          <w:b/>
          <w:bCs/>
          <w:sz w:val="28"/>
          <w:szCs w:val="28"/>
        </w:rPr>
        <w:t>School Psychologists</w:t>
      </w:r>
      <w:r w:rsidR="007C7E8B">
        <w:rPr>
          <w:b/>
          <w:bCs/>
          <w:sz w:val="28"/>
          <w:szCs w:val="28"/>
        </w:rPr>
        <w:t xml:space="preserve"> &amp; </w:t>
      </w:r>
      <w:bookmarkStart w:id="0" w:name="_GoBack"/>
      <w:bookmarkEnd w:id="0"/>
      <w:r w:rsidR="007C7E8B">
        <w:rPr>
          <w:b/>
          <w:bCs/>
          <w:sz w:val="28"/>
          <w:szCs w:val="28"/>
        </w:rPr>
        <w:t>Speech Language Pathologists</w:t>
      </w:r>
    </w:p>
    <w:p w14:paraId="3665FE14" w14:textId="5487F418" w:rsidR="007646AC" w:rsidRDefault="007646AC" w:rsidP="007646AC">
      <w:pPr>
        <w:tabs>
          <w:tab w:val="left" w:pos="1875"/>
        </w:tabs>
        <w:spacing w:after="0"/>
        <w:jc w:val="center"/>
        <w:rPr>
          <w:b/>
          <w:bCs/>
          <w:sz w:val="28"/>
          <w:szCs w:val="28"/>
        </w:rPr>
      </w:pPr>
      <w:r w:rsidRPr="007646AC">
        <w:rPr>
          <w:b/>
          <w:bCs/>
          <w:sz w:val="28"/>
          <w:szCs w:val="28"/>
        </w:rPr>
        <w:t>SUPPORT</w:t>
      </w:r>
    </w:p>
    <w:p w14:paraId="7EAC21DE" w14:textId="2C9C4A18" w:rsidR="007646AC" w:rsidRDefault="007646AC" w:rsidP="007646AC">
      <w:pPr>
        <w:tabs>
          <w:tab w:val="left" w:pos="1875"/>
        </w:tabs>
        <w:spacing w:after="0"/>
        <w:jc w:val="center"/>
        <w:rPr>
          <w:b/>
          <w:bCs/>
          <w:sz w:val="28"/>
          <w:szCs w:val="28"/>
        </w:rPr>
      </w:pPr>
    </w:p>
    <w:p w14:paraId="668AE4AA" w14:textId="75806476" w:rsidR="007646AC" w:rsidRPr="007646AC" w:rsidRDefault="007646AC" w:rsidP="007646AC">
      <w:pPr>
        <w:tabs>
          <w:tab w:val="left" w:pos="1875"/>
        </w:tabs>
        <w:spacing w:after="0"/>
        <w:rPr>
          <w:b/>
          <w:bCs/>
        </w:rPr>
      </w:pPr>
      <w:r w:rsidRPr="007646AC">
        <w:rPr>
          <w:b/>
          <w:bCs/>
        </w:rPr>
        <w:t>Background</w:t>
      </w:r>
    </w:p>
    <w:p w14:paraId="01683110" w14:textId="61BE8F43" w:rsidR="007646AC" w:rsidRPr="007646AC" w:rsidRDefault="007646AC" w:rsidP="007646AC">
      <w:pPr>
        <w:tabs>
          <w:tab w:val="left" w:pos="1875"/>
        </w:tabs>
        <w:spacing w:after="0"/>
      </w:pPr>
      <w:r w:rsidRPr="007646AC">
        <w:t>CASELOAD means the number of students assigned to an individual school psychologist, school social worker, school counselor, school nurse, speech-language pathologist, or other clinician providing special education or related services.</w:t>
      </w:r>
    </w:p>
    <w:p w14:paraId="152EED69" w14:textId="77777777" w:rsidR="007646AC" w:rsidRPr="007646AC" w:rsidRDefault="007646AC" w:rsidP="007646AC">
      <w:pPr>
        <w:tabs>
          <w:tab w:val="left" w:pos="1875"/>
        </w:tabs>
        <w:spacing w:after="0"/>
      </w:pPr>
    </w:p>
    <w:p w14:paraId="44568A45" w14:textId="77777777" w:rsidR="007646AC" w:rsidRPr="007646AC" w:rsidRDefault="007646AC" w:rsidP="007646AC">
      <w:pPr>
        <w:tabs>
          <w:tab w:val="left" w:pos="1875"/>
        </w:tabs>
        <w:spacing w:after="0"/>
      </w:pPr>
      <w:r w:rsidRPr="007646AC">
        <w:t>WORKLOAD refers to all activities required and performed by a clinician. Workload includes the time spent providing direct services to students as well as the time spent performing other required tasks such as consultation with other clinicians, educators, and families, travel between schools, and paperwork. In addition, the needs of each student receiving services varies significantly which impacts the workload of the clinician.</w:t>
      </w:r>
    </w:p>
    <w:p w14:paraId="47035617" w14:textId="599B0C6F" w:rsidR="007646AC" w:rsidRDefault="007646AC" w:rsidP="007646AC">
      <w:pPr>
        <w:tabs>
          <w:tab w:val="left" w:pos="1875"/>
        </w:tabs>
        <w:spacing w:after="0"/>
        <w:rPr>
          <w:b/>
          <w:bCs/>
          <w:sz w:val="28"/>
          <w:szCs w:val="28"/>
        </w:rPr>
      </w:pPr>
    </w:p>
    <w:p w14:paraId="1F088EA8" w14:textId="77777777" w:rsidR="007646AC" w:rsidRDefault="007646AC" w:rsidP="007646AC">
      <w:pPr>
        <w:tabs>
          <w:tab w:val="left" w:pos="1875"/>
        </w:tabs>
        <w:spacing w:after="0"/>
        <w:rPr>
          <w:b/>
          <w:bCs/>
        </w:rPr>
      </w:pPr>
      <w:r w:rsidRPr="007646AC">
        <w:rPr>
          <w:b/>
          <w:bCs/>
        </w:rPr>
        <w:t>Issue</w:t>
      </w:r>
    </w:p>
    <w:p w14:paraId="1C3A0A75" w14:textId="40307BC2" w:rsidR="007646AC" w:rsidRPr="007646AC" w:rsidRDefault="007646AC" w:rsidP="007646AC">
      <w:pPr>
        <w:tabs>
          <w:tab w:val="left" w:pos="1875"/>
        </w:tabs>
        <w:spacing w:after="0"/>
        <w:rPr>
          <w:b/>
          <w:bCs/>
        </w:rPr>
      </w:pPr>
      <w:r w:rsidRPr="007646AC">
        <w:rPr>
          <w:rFonts w:cstheme="minorHAnsi"/>
          <w:color w:val="231F20"/>
        </w:rPr>
        <w:t>Unreasonably high caseloads contribute to Illinois’ clinician (e.g., school psychologist, school social worker, school counselor, school nurse) shortage and adversely impacts students and their families. Caseloads do not consider the time it takes to do the work required for each assigned student and to complete other required</w:t>
      </w:r>
      <w:r w:rsidRPr="007646AC">
        <w:rPr>
          <w:rFonts w:cstheme="minorHAnsi"/>
          <w:color w:val="231F20"/>
          <w:spacing w:val="40"/>
        </w:rPr>
        <w:t xml:space="preserve"> </w:t>
      </w:r>
      <w:r w:rsidRPr="007646AC">
        <w:rPr>
          <w:rFonts w:cstheme="minorHAnsi"/>
          <w:color w:val="231F20"/>
        </w:rPr>
        <w:t>tasks. Only when these factors are considered is there an accurate picture of the workload required for each individual clinician.</w:t>
      </w:r>
    </w:p>
    <w:p w14:paraId="79AFDCB4" w14:textId="77777777" w:rsidR="007646AC" w:rsidRPr="007646AC" w:rsidRDefault="007646AC" w:rsidP="007646AC">
      <w:pPr>
        <w:pStyle w:val="BodyText"/>
        <w:spacing w:before="6"/>
        <w:rPr>
          <w:rFonts w:asciiTheme="minorHAnsi" w:hAnsiTheme="minorHAnsi" w:cstheme="minorHAnsi"/>
          <w:sz w:val="22"/>
          <w:szCs w:val="22"/>
        </w:rPr>
      </w:pPr>
    </w:p>
    <w:p w14:paraId="6A641DE1" w14:textId="4C29E35F" w:rsidR="007646AC" w:rsidRPr="007646AC" w:rsidRDefault="007646AC" w:rsidP="007646AC">
      <w:pPr>
        <w:pStyle w:val="BodyText"/>
        <w:spacing w:line="249" w:lineRule="auto"/>
        <w:ind w:right="1081"/>
        <w:rPr>
          <w:rFonts w:asciiTheme="minorHAnsi" w:hAnsiTheme="minorHAnsi" w:cstheme="minorHAnsi"/>
          <w:sz w:val="22"/>
          <w:szCs w:val="22"/>
        </w:rPr>
      </w:pPr>
      <w:r w:rsidRPr="007646AC">
        <w:rPr>
          <w:rFonts w:asciiTheme="minorHAnsi" w:hAnsiTheme="minorHAnsi" w:cstheme="minorHAnsi"/>
          <w:color w:val="231F20"/>
          <w:w w:val="105"/>
          <w:sz w:val="22"/>
          <w:szCs w:val="22"/>
        </w:rPr>
        <w:t>In</w:t>
      </w:r>
      <w:r w:rsidRPr="007646AC">
        <w:rPr>
          <w:rFonts w:asciiTheme="minorHAnsi" w:hAnsiTheme="minorHAnsi" w:cstheme="minorHAnsi"/>
          <w:color w:val="231F20"/>
          <w:spacing w:val="-12"/>
          <w:w w:val="105"/>
          <w:sz w:val="22"/>
          <w:szCs w:val="22"/>
        </w:rPr>
        <w:t xml:space="preserve"> </w:t>
      </w:r>
      <w:r w:rsidRPr="007646AC">
        <w:rPr>
          <w:rFonts w:asciiTheme="minorHAnsi" w:hAnsiTheme="minorHAnsi" w:cstheme="minorHAnsi"/>
          <w:color w:val="231F20"/>
          <w:w w:val="105"/>
          <w:sz w:val="22"/>
          <w:szCs w:val="22"/>
        </w:rPr>
        <w:t>addition,</w:t>
      </w:r>
      <w:r w:rsidRPr="007646AC">
        <w:rPr>
          <w:rFonts w:asciiTheme="minorHAnsi" w:hAnsiTheme="minorHAnsi" w:cstheme="minorHAnsi"/>
          <w:color w:val="231F20"/>
          <w:spacing w:val="-12"/>
          <w:w w:val="105"/>
          <w:sz w:val="22"/>
          <w:szCs w:val="22"/>
        </w:rPr>
        <w:t xml:space="preserve"> </w:t>
      </w:r>
      <w:r w:rsidRPr="007646AC">
        <w:rPr>
          <w:rFonts w:asciiTheme="minorHAnsi" w:hAnsiTheme="minorHAnsi" w:cstheme="minorHAnsi"/>
          <w:color w:val="231F20"/>
          <w:w w:val="105"/>
          <w:sz w:val="22"/>
          <w:szCs w:val="22"/>
        </w:rPr>
        <w:t>these</w:t>
      </w:r>
      <w:r w:rsidRPr="007646AC">
        <w:rPr>
          <w:rFonts w:asciiTheme="minorHAnsi" w:hAnsiTheme="minorHAnsi" w:cstheme="minorHAnsi"/>
          <w:color w:val="231F20"/>
          <w:spacing w:val="-12"/>
          <w:w w:val="105"/>
          <w:sz w:val="22"/>
          <w:szCs w:val="22"/>
        </w:rPr>
        <w:t xml:space="preserve"> </w:t>
      </w:r>
      <w:r w:rsidRPr="007646AC">
        <w:rPr>
          <w:rFonts w:asciiTheme="minorHAnsi" w:hAnsiTheme="minorHAnsi" w:cstheme="minorHAnsi"/>
          <w:color w:val="231F20"/>
          <w:w w:val="105"/>
          <w:sz w:val="22"/>
          <w:szCs w:val="22"/>
        </w:rPr>
        <w:t>clinicians</w:t>
      </w:r>
      <w:r w:rsidRPr="007646AC">
        <w:rPr>
          <w:rFonts w:asciiTheme="minorHAnsi" w:hAnsiTheme="minorHAnsi" w:cstheme="minorHAnsi"/>
          <w:color w:val="231F20"/>
          <w:spacing w:val="-12"/>
          <w:w w:val="105"/>
          <w:sz w:val="22"/>
          <w:szCs w:val="22"/>
        </w:rPr>
        <w:t xml:space="preserve"> </w:t>
      </w:r>
      <w:r w:rsidRPr="007646AC">
        <w:rPr>
          <w:rFonts w:asciiTheme="minorHAnsi" w:hAnsiTheme="minorHAnsi" w:cstheme="minorHAnsi"/>
          <w:color w:val="231F20"/>
          <w:w w:val="105"/>
          <w:sz w:val="22"/>
          <w:szCs w:val="22"/>
        </w:rPr>
        <w:t>provide</w:t>
      </w:r>
      <w:r w:rsidRPr="007646AC">
        <w:rPr>
          <w:rFonts w:asciiTheme="minorHAnsi" w:hAnsiTheme="minorHAnsi" w:cstheme="minorHAnsi"/>
          <w:color w:val="231F20"/>
          <w:spacing w:val="-12"/>
          <w:w w:val="105"/>
          <w:sz w:val="22"/>
          <w:szCs w:val="22"/>
        </w:rPr>
        <w:t xml:space="preserve"> </w:t>
      </w:r>
      <w:r w:rsidRPr="007646AC">
        <w:rPr>
          <w:rFonts w:asciiTheme="minorHAnsi" w:hAnsiTheme="minorHAnsi" w:cstheme="minorHAnsi"/>
          <w:color w:val="231F20"/>
          <w:w w:val="105"/>
          <w:sz w:val="22"/>
          <w:szCs w:val="22"/>
        </w:rPr>
        <w:t>important</w:t>
      </w:r>
      <w:r w:rsidRPr="007646AC">
        <w:rPr>
          <w:rFonts w:asciiTheme="minorHAnsi" w:hAnsiTheme="minorHAnsi" w:cstheme="minorHAnsi"/>
          <w:color w:val="231F20"/>
          <w:spacing w:val="-12"/>
          <w:w w:val="105"/>
          <w:sz w:val="22"/>
          <w:szCs w:val="22"/>
        </w:rPr>
        <w:t xml:space="preserve"> </w:t>
      </w:r>
      <w:r w:rsidRPr="007646AC">
        <w:rPr>
          <w:rFonts w:asciiTheme="minorHAnsi" w:hAnsiTheme="minorHAnsi" w:cstheme="minorHAnsi"/>
          <w:color w:val="231F20"/>
          <w:w w:val="105"/>
          <w:sz w:val="22"/>
          <w:szCs w:val="22"/>
        </w:rPr>
        <w:t>mental</w:t>
      </w:r>
      <w:r w:rsidRPr="007646AC">
        <w:rPr>
          <w:rFonts w:asciiTheme="minorHAnsi" w:hAnsiTheme="minorHAnsi" w:cstheme="minorHAnsi"/>
          <w:color w:val="231F20"/>
          <w:spacing w:val="-12"/>
          <w:w w:val="105"/>
          <w:sz w:val="22"/>
          <w:szCs w:val="22"/>
        </w:rPr>
        <w:t xml:space="preserve"> </w:t>
      </w:r>
      <w:r w:rsidRPr="007646AC">
        <w:rPr>
          <w:rFonts w:asciiTheme="minorHAnsi" w:hAnsiTheme="minorHAnsi" w:cstheme="minorHAnsi"/>
          <w:color w:val="231F20"/>
          <w:w w:val="105"/>
          <w:sz w:val="22"/>
          <w:szCs w:val="22"/>
        </w:rPr>
        <w:t>health</w:t>
      </w:r>
      <w:r w:rsidRPr="007646AC">
        <w:rPr>
          <w:rFonts w:asciiTheme="minorHAnsi" w:hAnsiTheme="minorHAnsi" w:cstheme="minorHAnsi"/>
          <w:color w:val="231F20"/>
          <w:spacing w:val="-12"/>
          <w:w w:val="105"/>
          <w:sz w:val="22"/>
          <w:szCs w:val="22"/>
        </w:rPr>
        <w:t xml:space="preserve"> </w:t>
      </w:r>
      <w:r w:rsidRPr="007646AC">
        <w:rPr>
          <w:rFonts w:asciiTheme="minorHAnsi" w:hAnsiTheme="minorHAnsi" w:cstheme="minorHAnsi"/>
          <w:color w:val="231F20"/>
          <w:w w:val="105"/>
          <w:sz w:val="22"/>
          <w:szCs w:val="22"/>
        </w:rPr>
        <w:t>services</w:t>
      </w:r>
      <w:r w:rsidRPr="007646AC">
        <w:rPr>
          <w:rFonts w:asciiTheme="minorHAnsi" w:hAnsiTheme="minorHAnsi" w:cstheme="minorHAnsi"/>
          <w:color w:val="231F20"/>
          <w:spacing w:val="-12"/>
          <w:w w:val="105"/>
          <w:sz w:val="22"/>
          <w:szCs w:val="22"/>
        </w:rPr>
        <w:t xml:space="preserve"> </w:t>
      </w:r>
      <w:r w:rsidRPr="007646AC">
        <w:rPr>
          <w:rFonts w:asciiTheme="minorHAnsi" w:hAnsiTheme="minorHAnsi" w:cstheme="minorHAnsi"/>
          <w:color w:val="231F20"/>
          <w:w w:val="105"/>
          <w:sz w:val="22"/>
          <w:szCs w:val="22"/>
        </w:rPr>
        <w:t>to</w:t>
      </w:r>
      <w:r w:rsidRPr="007646AC">
        <w:rPr>
          <w:rFonts w:asciiTheme="minorHAnsi" w:hAnsiTheme="minorHAnsi" w:cstheme="minorHAnsi"/>
          <w:color w:val="231F20"/>
          <w:spacing w:val="-12"/>
          <w:w w:val="105"/>
          <w:sz w:val="22"/>
          <w:szCs w:val="22"/>
        </w:rPr>
        <w:t xml:space="preserve"> </w:t>
      </w:r>
      <w:r w:rsidRPr="007646AC">
        <w:rPr>
          <w:rFonts w:asciiTheme="minorHAnsi" w:hAnsiTheme="minorHAnsi" w:cstheme="minorHAnsi"/>
          <w:color w:val="231F20"/>
          <w:w w:val="105"/>
          <w:sz w:val="22"/>
          <w:szCs w:val="22"/>
        </w:rPr>
        <w:t>students.</w:t>
      </w:r>
      <w:r w:rsidRPr="007646AC">
        <w:rPr>
          <w:rFonts w:asciiTheme="minorHAnsi" w:hAnsiTheme="minorHAnsi" w:cstheme="minorHAnsi"/>
          <w:color w:val="231F20"/>
          <w:spacing w:val="-12"/>
          <w:w w:val="105"/>
          <w:sz w:val="22"/>
          <w:szCs w:val="22"/>
        </w:rPr>
        <w:t xml:space="preserve"> </w:t>
      </w:r>
      <w:r w:rsidRPr="007646AC">
        <w:rPr>
          <w:rFonts w:asciiTheme="minorHAnsi" w:hAnsiTheme="minorHAnsi" w:cstheme="minorHAnsi"/>
          <w:color w:val="231F20"/>
          <w:w w:val="105"/>
          <w:sz w:val="22"/>
          <w:szCs w:val="22"/>
        </w:rPr>
        <w:t>The</w:t>
      </w:r>
      <w:r w:rsidRPr="007646AC">
        <w:rPr>
          <w:rFonts w:asciiTheme="minorHAnsi" w:hAnsiTheme="minorHAnsi" w:cstheme="minorHAnsi"/>
          <w:color w:val="231F20"/>
          <w:spacing w:val="-12"/>
          <w:w w:val="105"/>
          <w:sz w:val="22"/>
          <w:szCs w:val="22"/>
        </w:rPr>
        <w:t xml:space="preserve"> </w:t>
      </w:r>
      <w:r w:rsidRPr="007646AC">
        <w:rPr>
          <w:rFonts w:asciiTheme="minorHAnsi" w:hAnsiTheme="minorHAnsi" w:cstheme="minorHAnsi"/>
          <w:color w:val="231F20"/>
          <w:w w:val="105"/>
          <w:sz w:val="22"/>
          <w:szCs w:val="22"/>
        </w:rPr>
        <w:t>number</w:t>
      </w:r>
      <w:r w:rsidRPr="007646AC">
        <w:rPr>
          <w:rFonts w:asciiTheme="minorHAnsi" w:hAnsiTheme="minorHAnsi" w:cstheme="minorHAnsi"/>
          <w:color w:val="231F20"/>
          <w:spacing w:val="-12"/>
          <w:w w:val="105"/>
          <w:sz w:val="22"/>
          <w:szCs w:val="22"/>
        </w:rPr>
        <w:t xml:space="preserve"> </w:t>
      </w:r>
      <w:r w:rsidRPr="007646AC">
        <w:rPr>
          <w:rFonts w:asciiTheme="minorHAnsi" w:hAnsiTheme="minorHAnsi" w:cstheme="minorHAnsi"/>
          <w:color w:val="231F20"/>
          <w:w w:val="105"/>
          <w:sz w:val="22"/>
          <w:szCs w:val="22"/>
        </w:rPr>
        <w:t>of</w:t>
      </w:r>
      <w:r w:rsidRPr="007646AC">
        <w:rPr>
          <w:rFonts w:asciiTheme="minorHAnsi" w:hAnsiTheme="minorHAnsi" w:cstheme="minorHAnsi"/>
          <w:color w:val="231F20"/>
          <w:spacing w:val="-12"/>
          <w:w w:val="105"/>
          <w:sz w:val="22"/>
          <w:szCs w:val="22"/>
        </w:rPr>
        <w:t xml:space="preserve"> </w:t>
      </w:r>
      <w:r w:rsidRPr="007646AC">
        <w:rPr>
          <w:rFonts w:asciiTheme="minorHAnsi" w:hAnsiTheme="minorHAnsi" w:cstheme="minorHAnsi"/>
          <w:color w:val="231F20"/>
          <w:w w:val="105"/>
          <w:sz w:val="22"/>
          <w:szCs w:val="22"/>
        </w:rPr>
        <w:t xml:space="preserve">students </w:t>
      </w:r>
      <w:r w:rsidRPr="007646AC">
        <w:rPr>
          <w:rFonts w:asciiTheme="minorHAnsi" w:hAnsiTheme="minorHAnsi" w:cstheme="minorHAnsi"/>
          <w:color w:val="231F20"/>
          <w:spacing w:val="-2"/>
          <w:w w:val="105"/>
          <w:sz w:val="22"/>
          <w:szCs w:val="22"/>
        </w:rPr>
        <w:t>requiring</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spacing w:val="-2"/>
          <w:w w:val="105"/>
          <w:sz w:val="22"/>
          <w:szCs w:val="22"/>
        </w:rPr>
        <w:t>school-based</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spacing w:val="-2"/>
          <w:w w:val="105"/>
          <w:sz w:val="22"/>
          <w:szCs w:val="22"/>
        </w:rPr>
        <w:t>mental</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spacing w:val="-2"/>
          <w:w w:val="105"/>
          <w:sz w:val="22"/>
          <w:szCs w:val="22"/>
        </w:rPr>
        <w:t>health</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spacing w:val="-2"/>
          <w:w w:val="105"/>
          <w:sz w:val="22"/>
          <w:szCs w:val="22"/>
        </w:rPr>
        <w:t>services</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spacing w:val="-2"/>
          <w:w w:val="105"/>
          <w:sz w:val="22"/>
          <w:szCs w:val="22"/>
        </w:rPr>
        <w:t>continues</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spacing w:val="-2"/>
          <w:w w:val="105"/>
          <w:sz w:val="22"/>
          <w:szCs w:val="22"/>
        </w:rPr>
        <w:t>to</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spacing w:val="-2"/>
          <w:w w:val="105"/>
          <w:sz w:val="22"/>
          <w:szCs w:val="22"/>
        </w:rPr>
        <w:t>rise.</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spacing w:val="-2"/>
          <w:w w:val="105"/>
          <w:sz w:val="22"/>
          <w:szCs w:val="22"/>
        </w:rPr>
        <w:t>One</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spacing w:val="-2"/>
          <w:w w:val="105"/>
          <w:sz w:val="22"/>
          <w:szCs w:val="22"/>
        </w:rPr>
        <w:t>in</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spacing w:val="-2"/>
          <w:w w:val="105"/>
          <w:sz w:val="22"/>
          <w:szCs w:val="22"/>
        </w:rPr>
        <w:t>six</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spacing w:val="-2"/>
          <w:w w:val="105"/>
          <w:sz w:val="22"/>
          <w:szCs w:val="22"/>
        </w:rPr>
        <w:t>school-age</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spacing w:val="-2"/>
          <w:w w:val="105"/>
          <w:sz w:val="22"/>
          <w:szCs w:val="22"/>
        </w:rPr>
        <w:t>children</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spacing w:val="-2"/>
          <w:w w:val="105"/>
          <w:sz w:val="22"/>
          <w:szCs w:val="22"/>
        </w:rPr>
        <w:t>have</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spacing w:val="-2"/>
          <w:w w:val="105"/>
          <w:sz w:val="22"/>
          <w:szCs w:val="22"/>
        </w:rPr>
        <w:t xml:space="preserve">mental </w:t>
      </w:r>
      <w:r w:rsidRPr="007646AC">
        <w:rPr>
          <w:rFonts w:asciiTheme="minorHAnsi" w:hAnsiTheme="minorHAnsi" w:cstheme="minorHAnsi"/>
          <w:color w:val="231F20"/>
          <w:sz w:val="22"/>
          <w:szCs w:val="22"/>
        </w:rPr>
        <w:t xml:space="preserve">health conditions, but only half receive mental health services (NAMI, 2022). Public schools play an important </w:t>
      </w:r>
      <w:r w:rsidRPr="007646AC">
        <w:rPr>
          <w:rFonts w:asciiTheme="minorHAnsi" w:hAnsiTheme="minorHAnsi" w:cstheme="minorHAnsi"/>
          <w:color w:val="231F20"/>
          <w:w w:val="105"/>
          <w:sz w:val="22"/>
          <w:szCs w:val="22"/>
        </w:rPr>
        <w:t>role</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w w:val="105"/>
          <w:sz w:val="22"/>
          <w:szCs w:val="22"/>
        </w:rPr>
        <w:t>in</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w w:val="105"/>
          <w:sz w:val="22"/>
          <w:szCs w:val="22"/>
        </w:rPr>
        <w:t>the</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w w:val="105"/>
          <w:sz w:val="22"/>
          <w:szCs w:val="22"/>
        </w:rPr>
        <w:t>early</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w w:val="105"/>
          <w:sz w:val="22"/>
          <w:szCs w:val="22"/>
        </w:rPr>
        <w:t>identification</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w w:val="105"/>
          <w:sz w:val="22"/>
          <w:szCs w:val="22"/>
        </w:rPr>
        <w:t>and</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w w:val="105"/>
          <w:sz w:val="22"/>
          <w:szCs w:val="22"/>
        </w:rPr>
        <w:t>effective</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w w:val="105"/>
          <w:sz w:val="22"/>
          <w:szCs w:val="22"/>
        </w:rPr>
        <w:t>treatment</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w w:val="105"/>
          <w:sz w:val="22"/>
          <w:szCs w:val="22"/>
        </w:rPr>
        <w:t>of</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w w:val="105"/>
          <w:sz w:val="22"/>
          <w:szCs w:val="22"/>
        </w:rPr>
        <w:t>children</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w w:val="105"/>
          <w:sz w:val="22"/>
          <w:szCs w:val="22"/>
        </w:rPr>
        <w:t>with</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w w:val="105"/>
          <w:sz w:val="22"/>
          <w:szCs w:val="22"/>
        </w:rPr>
        <w:t>mental</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w w:val="105"/>
          <w:sz w:val="22"/>
          <w:szCs w:val="22"/>
        </w:rPr>
        <w:t>health</w:t>
      </w:r>
      <w:r w:rsidRPr="007646AC">
        <w:rPr>
          <w:rFonts w:asciiTheme="minorHAnsi" w:hAnsiTheme="minorHAnsi" w:cstheme="minorHAnsi"/>
          <w:color w:val="231F20"/>
          <w:spacing w:val="-6"/>
          <w:w w:val="105"/>
          <w:sz w:val="22"/>
          <w:szCs w:val="22"/>
        </w:rPr>
        <w:t xml:space="preserve"> </w:t>
      </w:r>
      <w:r w:rsidRPr="007646AC">
        <w:rPr>
          <w:rFonts w:asciiTheme="minorHAnsi" w:hAnsiTheme="minorHAnsi" w:cstheme="minorHAnsi"/>
          <w:color w:val="231F20"/>
          <w:w w:val="105"/>
          <w:sz w:val="22"/>
          <w:szCs w:val="22"/>
        </w:rPr>
        <w:t>conditions.</w:t>
      </w:r>
    </w:p>
    <w:p w14:paraId="1DDB35EE" w14:textId="77777777" w:rsidR="007646AC" w:rsidRPr="007646AC" w:rsidRDefault="007646AC" w:rsidP="007646AC">
      <w:pPr>
        <w:pStyle w:val="BodyText"/>
        <w:spacing w:before="5"/>
        <w:rPr>
          <w:rFonts w:asciiTheme="minorHAnsi" w:hAnsiTheme="minorHAnsi" w:cstheme="minorHAnsi"/>
          <w:sz w:val="22"/>
          <w:szCs w:val="22"/>
        </w:rPr>
      </w:pPr>
    </w:p>
    <w:p w14:paraId="7DB0A23B" w14:textId="0298701D" w:rsidR="007646AC" w:rsidRPr="007646AC" w:rsidRDefault="007646AC" w:rsidP="007646AC">
      <w:pPr>
        <w:pStyle w:val="BodyText"/>
        <w:spacing w:line="249" w:lineRule="auto"/>
        <w:ind w:right="1081"/>
        <w:rPr>
          <w:rFonts w:asciiTheme="minorHAnsi" w:hAnsiTheme="minorHAnsi" w:cstheme="minorHAnsi"/>
          <w:sz w:val="22"/>
          <w:szCs w:val="22"/>
        </w:rPr>
      </w:pPr>
      <w:r w:rsidRPr="007646AC">
        <w:rPr>
          <w:rFonts w:asciiTheme="minorHAnsi" w:hAnsiTheme="minorHAnsi" w:cstheme="minorHAnsi"/>
          <w:color w:val="231F20"/>
          <w:sz w:val="22"/>
          <w:szCs w:val="22"/>
        </w:rPr>
        <w:t>Only by establishing maximum caseloads</w:t>
      </w:r>
      <w:r>
        <w:rPr>
          <w:rFonts w:asciiTheme="minorHAnsi" w:hAnsiTheme="minorHAnsi" w:cstheme="minorHAnsi"/>
          <w:color w:val="231F20"/>
          <w:sz w:val="22"/>
          <w:szCs w:val="22"/>
        </w:rPr>
        <w:t xml:space="preserve"> </w:t>
      </w:r>
      <w:r w:rsidRPr="007646AC">
        <w:rPr>
          <w:rFonts w:asciiTheme="minorHAnsi" w:hAnsiTheme="minorHAnsi" w:cstheme="minorHAnsi"/>
          <w:color w:val="231F20"/>
          <w:sz w:val="22"/>
          <w:szCs w:val="22"/>
        </w:rPr>
        <w:t>and requiring school districts to consider the workloads of clinicians, can we increase access to necessary special education and related services including school-based mental health services.</w:t>
      </w:r>
    </w:p>
    <w:p w14:paraId="660A8A6B" w14:textId="77777777" w:rsidR="007646AC" w:rsidRPr="007646AC" w:rsidRDefault="007646AC" w:rsidP="007646AC">
      <w:pPr>
        <w:tabs>
          <w:tab w:val="left" w:pos="1875"/>
        </w:tabs>
        <w:spacing w:after="0"/>
        <w:rPr>
          <w:b/>
          <w:bCs/>
          <w:sz w:val="28"/>
          <w:szCs w:val="28"/>
        </w:rPr>
      </w:pPr>
    </w:p>
    <w:p w14:paraId="104CFC6B" w14:textId="77777777" w:rsidR="007646AC" w:rsidRDefault="007646AC" w:rsidP="007646AC">
      <w:pPr>
        <w:tabs>
          <w:tab w:val="left" w:pos="1875"/>
        </w:tabs>
        <w:spacing w:after="0"/>
        <w:jc w:val="both"/>
        <w:rPr>
          <w:b/>
          <w:bCs/>
        </w:rPr>
      </w:pPr>
      <w:r>
        <w:rPr>
          <w:b/>
          <w:bCs/>
        </w:rPr>
        <w:t>Proposed Action</w:t>
      </w:r>
    </w:p>
    <w:p w14:paraId="03DF1D25" w14:textId="0B1719FF" w:rsidR="007646AC" w:rsidRPr="007646AC" w:rsidRDefault="007646AC" w:rsidP="007646AC">
      <w:pPr>
        <w:tabs>
          <w:tab w:val="left" w:pos="1875"/>
        </w:tabs>
        <w:spacing w:after="0"/>
        <w:jc w:val="both"/>
        <w:rPr>
          <w:b/>
          <w:bCs/>
        </w:rPr>
      </w:pPr>
      <w:r>
        <w:rPr>
          <w:color w:val="231F20"/>
          <w:w w:val="105"/>
        </w:rPr>
        <w:t>We</w:t>
      </w:r>
      <w:r>
        <w:rPr>
          <w:color w:val="231F20"/>
          <w:spacing w:val="-13"/>
          <w:w w:val="105"/>
        </w:rPr>
        <w:t xml:space="preserve"> </w:t>
      </w:r>
      <w:r>
        <w:rPr>
          <w:color w:val="231F20"/>
          <w:w w:val="105"/>
        </w:rPr>
        <w:t>propose</w:t>
      </w:r>
      <w:r>
        <w:rPr>
          <w:color w:val="231F20"/>
          <w:spacing w:val="-13"/>
          <w:w w:val="105"/>
        </w:rPr>
        <w:t xml:space="preserve"> </w:t>
      </w:r>
      <w:r>
        <w:rPr>
          <w:color w:val="231F20"/>
          <w:w w:val="105"/>
        </w:rPr>
        <w:t>amending</w:t>
      </w:r>
      <w:r>
        <w:rPr>
          <w:color w:val="231F20"/>
          <w:spacing w:val="-13"/>
          <w:w w:val="105"/>
        </w:rPr>
        <w:t xml:space="preserve"> </w:t>
      </w:r>
      <w:r>
        <w:rPr>
          <w:color w:val="231F20"/>
          <w:w w:val="105"/>
        </w:rPr>
        <w:t>the</w:t>
      </w:r>
      <w:r>
        <w:rPr>
          <w:color w:val="231F20"/>
          <w:spacing w:val="-13"/>
          <w:w w:val="105"/>
        </w:rPr>
        <w:t xml:space="preserve"> </w:t>
      </w:r>
      <w:r>
        <w:rPr>
          <w:color w:val="231F20"/>
          <w:w w:val="105"/>
        </w:rPr>
        <w:t>school</w:t>
      </w:r>
      <w:r>
        <w:rPr>
          <w:color w:val="231F20"/>
          <w:spacing w:val="-13"/>
          <w:w w:val="105"/>
        </w:rPr>
        <w:t xml:space="preserve"> </w:t>
      </w:r>
      <w:r>
        <w:rPr>
          <w:color w:val="231F20"/>
          <w:w w:val="105"/>
        </w:rPr>
        <w:t>code</w:t>
      </w:r>
      <w:r>
        <w:rPr>
          <w:color w:val="231F20"/>
          <w:spacing w:val="-13"/>
          <w:w w:val="105"/>
        </w:rPr>
        <w:t xml:space="preserve"> </w:t>
      </w:r>
      <w:r>
        <w:rPr>
          <w:color w:val="231F20"/>
          <w:w w:val="105"/>
        </w:rPr>
        <w:t>to</w:t>
      </w:r>
      <w:r>
        <w:rPr>
          <w:color w:val="231F20"/>
          <w:spacing w:val="-13"/>
          <w:w w:val="105"/>
        </w:rPr>
        <w:t xml:space="preserve"> </w:t>
      </w:r>
      <w:r>
        <w:rPr>
          <w:color w:val="231F20"/>
          <w:w w:val="105"/>
        </w:rPr>
        <w:t>include</w:t>
      </w:r>
      <w:r>
        <w:rPr>
          <w:color w:val="231F20"/>
          <w:spacing w:val="-13"/>
          <w:w w:val="105"/>
        </w:rPr>
        <w:t xml:space="preserve"> </w:t>
      </w:r>
      <w:r>
        <w:rPr>
          <w:color w:val="231F20"/>
          <w:w w:val="105"/>
        </w:rPr>
        <w:t>appropriate</w:t>
      </w:r>
      <w:r>
        <w:rPr>
          <w:color w:val="231F20"/>
          <w:spacing w:val="-13"/>
          <w:w w:val="105"/>
        </w:rPr>
        <w:t xml:space="preserve"> </w:t>
      </w:r>
      <w:r>
        <w:rPr>
          <w:color w:val="231F20"/>
          <w:w w:val="105"/>
        </w:rPr>
        <w:t>maximum</w:t>
      </w:r>
      <w:r>
        <w:rPr>
          <w:color w:val="231F20"/>
          <w:spacing w:val="-13"/>
          <w:w w:val="105"/>
        </w:rPr>
        <w:t xml:space="preserve"> </w:t>
      </w:r>
      <w:r>
        <w:rPr>
          <w:color w:val="231F20"/>
          <w:w w:val="105"/>
        </w:rPr>
        <w:t>caseloads</w:t>
      </w:r>
      <w:r>
        <w:rPr>
          <w:color w:val="231F20"/>
          <w:spacing w:val="-13"/>
          <w:w w:val="105"/>
        </w:rPr>
        <w:t xml:space="preserve"> </w:t>
      </w:r>
      <w:r>
        <w:rPr>
          <w:color w:val="231F20"/>
          <w:w w:val="105"/>
        </w:rPr>
        <w:t>based</w:t>
      </w:r>
      <w:r>
        <w:rPr>
          <w:color w:val="231F20"/>
          <w:spacing w:val="-13"/>
          <w:w w:val="105"/>
        </w:rPr>
        <w:t xml:space="preserve"> </w:t>
      </w:r>
      <w:r>
        <w:rPr>
          <w:color w:val="231F20"/>
          <w:w w:val="105"/>
        </w:rPr>
        <w:t xml:space="preserve">on </w:t>
      </w:r>
      <w:r>
        <w:rPr>
          <w:color w:val="231F20"/>
        </w:rPr>
        <w:t xml:space="preserve">recommendations from professional organizations such as the National Association of Social Workers (NASW), the National Association of School Psychologists (NASP), the American School Counselor Association (ASCA), </w:t>
      </w:r>
      <w:r>
        <w:rPr>
          <w:color w:val="231F20"/>
          <w:w w:val="105"/>
        </w:rPr>
        <w:t>and</w:t>
      </w:r>
      <w:r>
        <w:rPr>
          <w:color w:val="231F20"/>
          <w:spacing w:val="-15"/>
          <w:w w:val="105"/>
        </w:rPr>
        <w:t xml:space="preserve"> </w:t>
      </w:r>
      <w:r>
        <w:rPr>
          <w:color w:val="231F20"/>
          <w:w w:val="105"/>
        </w:rPr>
        <w:t>the</w:t>
      </w:r>
      <w:r>
        <w:rPr>
          <w:color w:val="231F20"/>
          <w:spacing w:val="-15"/>
          <w:w w:val="105"/>
        </w:rPr>
        <w:t xml:space="preserve"> </w:t>
      </w:r>
      <w:r>
        <w:rPr>
          <w:color w:val="231F20"/>
          <w:w w:val="105"/>
        </w:rPr>
        <w:t>National</w:t>
      </w:r>
      <w:r>
        <w:rPr>
          <w:color w:val="231F20"/>
          <w:spacing w:val="-14"/>
          <w:w w:val="105"/>
        </w:rPr>
        <w:t xml:space="preserve"> </w:t>
      </w:r>
      <w:r>
        <w:rPr>
          <w:color w:val="231F20"/>
          <w:w w:val="105"/>
        </w:rPr>
        <w:t>Association</w:t>
      </w:r>
      <w:r>
        <w:rPr>
          <w:color w:val="231F20"/>
          <w:spacing w:val="-15"/>
          <w:w w:val="105"/>
        </w:rPr>
        <w:t xml:space="preserve"> </w:t>
      </w:r>
      <w:r>
        <w:rPr>
          <w:color w:val="231F20"/>
          <w:w w:val="105"/>
        </w:rPr>
        <w:t>of</w:t>
      </w:r>
      <w:r>
        <w:rPr>
          <w:color w:val="231F20"/>
          <w:spacing w:val="-14"/>
          <w:w w:val="105"/>
        </w:rPr>
        <w:t xml:space="preserve"> </w:t>
      </w:r>
      <w:r>
        <w:rPr>
          <w:color w:val="231F20"/>
          <w:w w:val="105"/>
        </w:rPr>
        <w:t>School</w:t>
      </w:r>
      <w:r>
        <w:rPr>
          <w:color w:val="231F20"/>
          <w:spacing w:val="-15"/>
          <w:w w:val="105"/>
        </w:rPr>
        <w:t xml:space="preserve"> </w:t>
      </w:r>
      <w:r>
        <w:rPr>
          <w:color w:val="231F20"/>
          <w:w w:val="105"/>
        </w:rPr>
        <w:t>Nurses</w:t>
      </w:r>
      <w:r>
        <w:rPr>
          <w:color w:val="231F20"/>
          <w:spacing w:val="-15"/>
          <w:w w:val="105"/>
        </w:rPr>
        <w:t xml:space="preserve"> </w:t>
      </w:r>
      <w:r>
        <w:rPr>
          <w:color w:val="231F20"/>
          <w:w w:val="105"/>
        </w:rPr>
        <w:t>(NASN).</w:t>
      </w:r>
    </w:p>
    <w:p w14:paraId="1A532C81" w14:textId="77777777" w:rsidR="007646AC" w:rsidRPr="007646AC" w:rsidRDefault="007646AC" w:rsidP="007646AC">
      <w:pPr>
        <w:tabs>
          <w:tab w:val="left" w:pos="1875"/>
        </w:tabs>
        <w:spacing w:after="0"/>
        <w:jc w:val="both"/>
        <w:rPr>
          <w:b/>
          <w:bCs/>
        </w:rPr>
      </w:pPr>
    </w:p>
    <w:sectPr w:rsidR="007646AC" w:rsidRPr="00764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A7E63"/>
    <w:multiLevelType w:val="hybridMultilevel"/>
    <w:tmpl w:val="F47009D8"/>
    <w:lvl w:ilvl="0" w:tplc="1E5C2F48">
      <w:numFmt w:val="bullet"/>
      <w:lvlText w:val="•"/>
      <w:lvlJc w:val="left"/>
      <w:pPr>
        <w:ind w:left="1397" w:hanging="180"/>
      </w:pPr>
      <w:rPr>
        <w:rFonts w:ascii="Arial" w:eastAsia="Arial" w:hAnsi="Arial" w:cs="Arial" w:hint="default"/>
        <w:b/>
        <w:bCs/>
        <w:i w:val="0"/>
        <w:iCs w:val="0"/>
        <w:color w:val="231F20"/>
        <w:w w:val="94"/>
        <w:sz w:val="20"/>
        <w:szCs w:val="20"/>
        <w:lang w:val="en-US" w:eastAsia="en-US" w:bidi="ar-SA"/>
      </w:rPr>
    </w:lvl>
    <w:lvl w:ilvl="1" w:tplc="3E968E26">
      <w:numFmt w:val="bullet"/>
      <w:lvlText w:val="•"/>
      <w:lvlJc w:val="left"/>
      <w:pPr>
        <w:ind w:left="2484" w:hanging="180"/>
      </w:pPr>
      <w:rPr>
        <w:rFonts w:hint="default"/>
        <w:lang w:val="en-US" w:eastAsia="en-US" w:bidi="ar-SA"/>
      </w:rPr>
    </w:lvl>
    <w:lvl w:ilvl="2" w:tplc="CC66E74C">
      <w:numFmt w:val="bullet"/>
      <w:lvlText w:val="•"/>
      <w:lvlJc w:val="left"/>
      <w:pPr>
        <w:ind w:left="3568" w:hanging="180"/>
      </w:pPr>
      <w:rPr>
        <w:rFonts w:hint="default"/>
        <w:lang w:val="en-US" w:eastAsia="en-US" w:bidi="ar-SA"/>
      </w:rPr>
    </w:lvl>
    <w:lvl w:ilvl="3" w:tplc="EA5A46A2">
      <w:numFmt w:val="bullet"/>
      <w:lvlText w:val="•"/>
      <w:lvlJc w:val="left"/>
      <w:pPr>
        <w:ind w:left="4652" w:hanging="180"/>
      </w:pPr>
      <w:rPr>
        <w:rFonts w:hint="default"/>
        <w:lang w:val="en-US" w:eastAsia="en-US" w:bidi="ar-SA"/>
      </w:rPr>
    </w:lvl>
    <w:lvl w:ilvl="4" w:tplc="085E5E34">
      <w:numFmt w:val="bullet"/>
      <w:lvlText w:val="•"/>
      <w:lvlJc w:val="left"/>
      <w:pPr>
        <w:ind w:left="5736" w:hanging="180"/>
      </w:pPr>
      <w:rPr>
        <w:rFonts w:hint="default"/>
        <w:lang w:val="en-US" w:eastAsia="en-US" w:bidi="ar-SA"/>
      </w:rPr>
    </w:lvl>
    <w:lvl w:ilvl="5" w:tplc="50EE3968">
      <w:numFmt w:val="bullet"/>
      <w:lvlText w:val="•"/>
      <w:lvlJc w:val="left"/>
      <w:pPr>
        <w:ind w:left="6820" w:hanging="180"/>
      </w:pPr>
      <w:rPr>
        <w:rFonts w:hint="default"/>
        <w:lang w:val="en-US" w:eastAsia="en-US" w:bidi="ar-SA"/>
      </w:rPr>
    </w:lvl>
    <w:lvl w:ilvl="6" w:tplc="C0A652EA">
      <w:numFmt w:val="bullet"/>
      <w:lvlText w:val="•"/>
      <w:lvlJc w:val="left"/>
      <w:pPr>
        <w:ind w:left="7904" w:hanging="180"/>
      </w:pPr>
      <w:rPr>
        <w:rFonts w:hint="default"/>
        <w:lang w:val="en-US" w:eastAsia="en-US" w:bidi="ar-SA"/>
      </w:rPr>
    </w:lvl>
    <w:lvl w:ilvl="7" w:tplc="5CEA0720">
      <w:numFmt w:val="bullet"/>
      <w:lvlText w:val="•"/>
      <w:lvlJc w:val="left"/>
      <w:pPr>
        <w:ind w:left="8988" w:hanging="180"/>
      </w:pPr>
      <w:rPr>
        <w:rFonts w:hint="default"/>
        <w:lang w:val="en-US" w:eastAsia="en-US" w:bidi="ar-SA"/>
      </w:rPr>
    </w:lvl>
    <w:lvl w:ilvl="8" w:tplc="D1064A52">
      <w:numFmt w:val="bullet"/>
      <w:lvlText w:val="•"/>
      <w:lvlJc w:val="left"/>
      <w:pPr>
        <w:ind w:left="10072" w:hanging="18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06"/>
    <w:rsid w:val="000F6221"/>
    <w:rsid w:val="007646AC"/>
    <w:rsid w:val="007C7E8B"/>
    <w:rsid w:val="00DF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4EC3"/>
  <w15:chartTrackingRefBased/>
  <w15:docId w15:val="{60218CF5-55D7-49D6-A26B-AC79E245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646A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646AC"/>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Shannon</dc:creator>
  <cp:keywords/>
  <dc:description/>
  <cp:lastModifiedBy>Miller, Shannon</cp:lastModifiedBy>
  <cp:revision>3</cp:revision>
  <dcterms:created xsi:type="dcterms:W3CDTF">2023-02-16T18:02:00Z</dcterms:created>
  <dcterms:modified xsi:type="dcterms:W3CDTF">2023-02-16T18:32:00Z</dcterms:modified>
</cp:coreProperties>
</file>